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>
          <w:rFonts w:ascii="Arial" w:cs="Arial" w:eastAsia="Arial" w:hAnsi="Arial"/>
          <w:b w:val="1"/>
          <w:color w:val="000000"/>
          <w:sz w:val="36"/>
          <w:szCs w:val="36"/>
          <w:u w:val="single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36"/>
          <w:szCs w:val="36"/>
          <w:u w:val="single"/>
          <w:rtl w:val="0"/>
        </w:rPr>
        <w:t xml:space="preserve">Integrating Cybersecurity and Agricultural Innovation</w:t>
      </w:r>
    </w:p>
    <w:p w:rsidR="00000000" w:rsidDel="00000000" w:rsidP="00000000" w:rsidRDefault="00000000" w:rsidRPr="00000000" w14:paraId="00000002">
      <w:pPr>
        <w:jc w:val="center"/>
        <w:rPr>
          <w:rFonts w:ascii="Arial" w:cs="Arial" w:eastAsia="Arial" w:hAnsi="Arial"/>
          <w:b w:val="1"/>
          <w:sz w:val="36"/>
          <w:szCs w:val="36"/>
          <w:u w:val="single"/>
        </w:rPr>
      </w:pPr>
      <w:r w:rsidDel="00000000" w:rsidR="00000000" w:rsidRPr="00000000">
        <w:rPr>
          <w:rFonts w:ascii="Arial" w:cs="Arial" w:eastAsia="Arial" w:hAnsi="Arial"/>
          <w:b w:val="1"/>
          <w:sz w:val="36"/>
          <w:szCs w:val="36"/>
          <w:u w:val="single"/>
          <w:rtl w:val="0"/>
        </w:rPr>
        <w:t xml:space="preserve">Week 4</w:t>
      </w:r>
    </w:p>
    <w:p w:rsidR="00000000" w:rsidDel="00000000" w:rsidP="00000000" w:rsidRDefault="00000000" w:rsidRPr="00000000" w14:paraId="00000003">
      <w:pPr>
        <w:jc w:val="center"/>
        <w:rPr>
          <w:rFonts w:ascii="Arial" w:cs="Arial" w:eastAsia="Arial" w:hAnsi="Arial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rFonts w:ascii="Arial" w:cs="Arial" w:eastAsia="Arial" w:hAnsi="Arial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>
          <w:rFonts w:ascii="Arial" w:cs="Arial" w:eastAsia="Arial" w:hAnsi="Arial"/>
          <w:color w:val="000000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color w:val="000000"/>
          <w:sz w:val="28"/>
          <w:szCs w:val="28"/>
          <w:rtl w:val="0"/>
        </w:rPr>
        <w:t xml:space="preserve">Guiding discussion questions</w:t>
      </w:r>
    </w:p>
    <w:p w:rsidR="00000000" w:rsidDel="00000000" w:rsidP="00000000" w:rsidRDefault="00000000" w:rsidRPr="00000000" w14:paraId="00000006">
      <w:pPr>
        <w:rPr>
          <w:rFonts w:ascii="Arial" w:cs="Arial" w:eastAsia="Arial" w:hAnsi="Arial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rtl w:val="0"/>
        </w:rPr>
        <w:t xml:space="preserve">Article 1</w:t>
      </w:r>
    </w:p>
    <w:p w:rsidR="00000000" w:rsidDel="00000000" w:rsidP="00000000" w:rsidRDefault="00000000" w:rsidRPr="00000000" w14:paraId="00000008">
      <w:pPr>
        <w:ind w:left="720" w:firstLine="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highlight w:val="white"/>
          <w:rtl w:val="0"/>
        </w:rPr>
        <w:t xml:space="preserve">Duncan, S. E., Reinhard, R., Williams, R. C., Ramsey, F., Thomason, W., Lee, K.,Dudek, N., Mostaghimi, S., Colbert, E., &amp; Murch, R. (2019). Cyberbiosecurity: a new perspective on protecting US food and agricultural system. </w:t>
      </w:r>
      <w:r w:rsidDel="00000000" w:rsidR="00000000" w:rsidRPr="00000000">
        <w:rPr>
          <w:rFonts w:ascii="Arial" w:cs="Arial" w:eastAsia="Arial" w:hAnsi="Arial"/>
          <w:i w:val="1"/>
          <w:highlight w:val="white"/>
          <w:rtl w:val="0"/>
        </w:rPr>
        <w:t xml:space="preserve">Frontiers in Bioengineering and Biotechnology</w:t>
      </w:r>
      <w:r w:rsidDel="00000000" w:rsidR="00000000" w:rsidRPr="00000000">
        <w:rPr>
          <w:rFonts w:ascii="Arial" w:cs="Arial" w:eastAsia="Arial" w:hAnsi="Arial"/>
          <w:highlight w:val="white"/>
          <w:rtl w:val="0"/>
        </w:rPr>
        <w:t xml:space="preserve">, </w:t>
      </w:r>
      <w:r w:rsidDel="00000000" w:rsidR="00000000" w:rsidRPr="00000000">
        <w:rPr>
          <w:rFonts w:ascii="Arial" w:cs="Arial" w:eastAsia="Arial" w:hAnsi="Arial"/>
          <w:i w:val="1"/>
          <w:highlight w:val="white"/>
          <w:rtl w:val="0"/>
        </w:rPr>
        <w:t xml:space="preserve">7</w:t>
      </w:r>
      <w:r w:rsidDel="00000000" w:rsidR="00000000" w:rsidRPr="00000000">
        <w:rPr>
          <w:rFonts w:ascii="Arial" w:cs="Arial" w:eastAsia="Arial" w:hAnsi="Arial"/>
          <w:highlight w:val="white"/>
          <w:rtl w:val="0"/>
        </w:rPr>
        <w:t xml:space="preserve">, 63. </w:t>
      </w:r>
      <w:hyperlink r:id="rId7">
        <w:r w:rsidDel="00000000" w:rsidR="00000000" w:rsidRPr="00000000">
          <w:rPr>
            <w:rFonts w:ascii="Arial" w:cs="Arial" w:eastAsia="Arial" w:hAnsi="Arial"/>
            <w:color w:val="1155cc"/>
            <w:highlight w:val="white"/>
            <w:u w:val="single"/>
            <w:rtl w:val="0"/>
          </w:rPr>
          <w:t xml:space="preserve">https://doi.org/10.3389/fbioe.2019.00063</w:t>
        </w:r>
      </w:hyperlink>
      <w:r w:rsidDel="00000000" w:rsidR="00000000" w:rsidRPr="00000000">
        <w:rPr>
          <w:rFonts w:ascii="Arial" w:cs="Arial" w:eastAsia="Arial" w:hAnsi="Arial"/>
          <w:highlight w:val="whit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Give examples of food and ag commodities beyond the traditional “cow and plow” farms that use or produce data.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1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Does this data have economic value? Explain.</w:t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1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Does it have noneconomic value? Explain.</w:t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Why is it </w:t>
      </w:r>
      <w:r w:rsidDel="00000000" w:rsidR="00000000" w:rsidRPr="00000000">
        <w:rPr>
          <w:rFonts w:ascii="Arial" w:cs="Arial" w:eastAsia="Arial" w:hAnsi="Arial"/>
          <w:rtl w:val="0"/>
        </w:rPr>
        <w:t xml:space="preserve">essential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that producers and industry secure their data?</w:t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1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Producer level?</w:t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1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Consumer level?</w:t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1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National level?</w:t>
      </w:r>
    </w:p>
    <w:p w:rsidR="00000000" w:rsidDel="00000000" w:rsidP="00000000" w:rsidRDefault="00000000" w:rsidRPr="00000000" w14:paraId="00000011">
      <w:pPr>
        <w:rPr>
          <w:rFonts w:ascii="Arial" w:cs="Arial" w:eastAsia="Arial" w:hAnsi="Arial"/>
          <w:color w:val="000000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>
          <w:rFonts w:ascii="Arial" w:cs="Arial" w:eastAsia="Arial" w:hAnsi="Arial"/>
          <w:color w:val="000000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ind w:left="720" w:firstLine="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Ellixson, A., &amp; Griffin, T. (2020) </w:t>
      </w:r>
      <w:r w:rsidDel="00000000" w:rsidR="00000000" w:rsidRPr="00000000">
        <w:rPr>
          <w:rFonts w:ascii="Arial" w:cs="Arial" w:eastAsia="Arial" w:hAnsi="Arial"/>
          <w:i w:val="1"/>
          <w:rtl w:val="0"/>
        </w:rPr>
        <w:t xml:space="preserve">Farmers must actively protect data to secure trade secret protections</w:t>
      </w:r>
      <w:r w:rsidDel="00000000" w:rsidR="00000000" w:rsidRPr="00000000">
        <w:rPr>
          <w:rFonts w:ascii="Arial" w:cs="Arial" w:eastAsia="Arial" w:hAnsi="Arial"/>
          <w:rtl w:val="0"/>
        </w:rPr>
        <w:t xml:space="preserve">. University of Maryland Department of Agricultural and Resource Economics. </w:t>
      </w:r>
      <w:hyperlink r:id="rId8">
        <w:r w:rsidDel="00000000" w:rsidR="00000000" w:rsidRPr="00000000">
          <w:rPr>
            <w:rFonts w:ascii="Arial" w:cs="Arial" w:eastAsia="Arial" w:hAnsi="Arial"/>
            <w:color w:val="1155cc"/>
            <w:u w:val="single"/>
            <w:rtl w:val="0"/>
          </w:rPr>
          <w:t xml:space="preserve">bit.ly/3QqvhcU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Looking at the security measures recommended in this article to farmers, do you think they are adequate, insufficient, or extreme? Explain.</w:t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Do you have any other measures that you would include in the recommendations?</w:t>
      </w:r>
    </w:p>
    <w:p w:rsidR="00000000" w:rsidDel="00000000" w:rsidP="00000000" w:rsidRDefault="00000000" w:rsidRPr="00000000" w14:paraId="00000017">
      <w:pPr>
        <w:rPr>
          <w:rFonts w:ascii="Arial" w:cs="Arial" w:eastAsia="Arial" w:hAnsi="Arial"/>
          <w:color w:val="000000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rFonts w:ascii="Arial" w:cs="Arial" w:eastAsia="Arial" w:hAnsi="Arial"/>
          <w:color w:val="000000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>
          <w:rFonts w:ascii="Arial" w:cs="Arial" w:eastAsia="Arial" w:hAnsi="Arial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4248150</wp:posOffset>
            </wp:positionH>
            <wp:positionV relativeFrom="paragraph">
              <wp:posOffset>299145</wp:posOffset>
            </wp:positionV>
            <wp:extent cx="1328738" cy="554233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28738" cy="55423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F">
      <w:pPr>
        <w:rPr>
          <w:rFonts w:ascii="Arial" w:cs="Arial" w:eastAsia="Arial" w:hAnsi="Arial"/>
          <w:b w:val="1"/>
          <w:color w:val="000000"/>
          <w:sz w:val="28"/>
          <w:szCs w:val="28"/>
          <w:u w:val="single"/>
        </w:rPr>
      </w:pPr>
      <w:r w:rsidDel="00000000" w:rsidR="00000000" w:rsidRPr="00000000">
        <w:rPr>
          <w:rFonts w:ascii="Arial" w:cs="Arial" w:eastAsia="Arial" w:hAnsi="Arial"/>
          <w:b w:val="1"/>
          <w:sz w:val="28"/>
          <w:szCs w:val="28"/>
          <w:u w:val="single"/>
        </w:rPr>
        <w:drawing>
          <wp:anchor allowOverlap="1" behindDoc="0" distB="0" distT="0" distL="114300" distR="114300" hidden="0" layoutInCell="1" locked="0" relativeHeight="0" simplePos="0">
            <wp:simplePos x="0" y="0"/>
            <wp:positionH relativeFrom="margin">
              <wp:posOffset>0</wp:posOffset>
            </wp:positionH>
            <wp:positionV relativeFrom="margin">
              <wp:posOffset>7075289</wp:posOffset>
            </wp:positionV>
            <wp:extent cx="1738853" cy="723900"/>
            <wp:effectExtent b="0" l="0" r="0" t="0"/>
            <wp:wrapSquare wrapText="bothSides" distB="0" distT="0" distL="114300" distR="114300"/>
            <wp:docPr descr="Text&#10;&#10;Description automatically generated with low confidence" id="3" name="image2.png"/>
            <a:graphic>
              <a:graphicData uri="http://schemas.openxmlformats.org/drawingml/2006/picture">
                <pic:pic>
                  <pic:nvPicPr>
                    <pic:cNvPr descr="Text&#10;&#10;Description automatically generated with low confidence"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38853" cy="7239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sectPr>
      <w:footerReference r:id="rId11" w:type="default"/>
      <w:pgSz w:h="15840" w:w="12240" w:orient="portrait"/>
      <w:pgMar w:bottom="72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Arial"/>
  <w:font w:name="Times New Roman"/>
  <w:font w:name="Trebuchet MS"/>
  <w:font w:name="Andika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0">
    <w:pPr>
      <w:widowControl w:val="0"/>
      <w:rPr>
        <w:rFonts w:ascii="Arial" w:cs="Arial" w:eastAsia="Arial" w:hAnsi="Arial"/>
        <w:sz w:val="16"/>
        <w:szCs w:val="16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21">
    <w:pPr>
      <w:widowControl w:val="0"/>
      <w:rPr>
        <w:rFonts w:ascii="Trebuchet MS" w:cs="Trebuchet MS" w:eastAsia="Trebuchet MS" w:hAnsi="Trebuchet MS"/>
        <w:sz w:val="16"/>
        <w:szCs w:val="16"/>
      </w:rPr>
    </w:pPr>
    <w:sdt>
      <w:sdtPr>
        <w:tag w:val="goog_rdk_0"/>
      </w:sdtPr>
      <w:sdtContent>
        <w:r w:rsidDel="00000000" w:rsidR="00000000" w:rsidRPr="00000000">
          <w:rPr>
            <w:rFonts w:ascii="Andika" w:cs="Andika" w:eastAsia="Andika" w:hAnsi="Andika"/>
            <w:sz w:val="16"/>
            <w:szCs w:val="16"/>
            <w:rtl w:val="0"/>
          </w:rPr>
          <w:t xml:space="preserve">©️ Virginia Tech CCI. Licensed under </w:t>
        </w:r>
      </w:sdtContent>
    </w:sdt>
    <w:hyperlink r:id="rId1">
      <w:r w:rsidDel="00000000" w:rsidR="00000000" w:rsidRPr="00000000">
        <w:rPr>
          <w:rFonts w:ascii="Arial" w:cs="Arial" w:eastAsia="Arial" w:hAnsi="Arial"/>
          <w:color w:val="99ca3c"/>
          <w:sz w:val="16"/>
          <w:szCs w:val="16"/>
          <w:u w:val="single"/>
          <w:rtl w:val="0"/>
        </w:rPr>
        <w:t xml:space="preserve">CC BY SA 4.0</w:t>
      </w:r>
    </w:hyperlink>
    <w:r w:rsidDel="00000000" w:rsidR="00000000" w:rsidRPr="00000000">
      <w:rPr>
        <w:rFonts w:ascii="Arial" w:cs="Arial" w:eastAsia="Arial" w:hAnsi="Arial"/>
        <w:sz w:val="16"/>
        <w:szCs w:val="16"/>
        <w:rtl w:val="0"/>
      </w:rPr>
      <w:t xml:space="preserve">. Illustrations are used with permission of Canva and are not subject to the Creative Commons license</w:t>
    </w:r>
    <w:r w:rsidDel="00000000" w:rsidR="00000000" w:rsidRPr="00000000">
      <w:rPr>
        <w:rFonts w:ascii="Trebuchet MS" w:cs="Trebuchet MS" w:eastAsia="Trebuchet MS" w:hAnsi="Trebuchet MS"/>
        <w:sz w:val="16"/>
        <w:szCs w:val="16"/>
        <w:rtl w:val="0"/>
      </w:rPr>
      <w:t xml:space="preserve">.</w:t>
    </w:r>
    <w:r w:rsidDel="00000000" w:rsidR="00000000" w:rsidRPr="00000000">
      <w:drawing>
        <wp:anchor allowOverlap="1" behindDoc="0" distB="19050" distT="19050" distL="19050" distR="19050" hidden="0" layoutInCell="1" locked="0" relativeHeight="0" simplePos="0">
          <wp:simplePos x="0" y="0"/>
          <wp:positionH relativeFrom="column">
            <wp:posOffset>1269563</wp:posOffset>
          </wp:positionH>
          <wp:positionV relativeFrom="paragraph">
            <wp:posOffset>135880</wp:posOffset>
          </wp:positionV>
          <wp:extent cx="783075" cy="269182"/>
          <wp:effectExtent b="0" l="0" r="0" t="0"/>
          <wp:wrapNone/>
          <wp:docPr descr="A picture containing text, clipart&#10;&#10;Description automatically generated" id="2" name="image3.png"/>
          <a:graphic>
            <a:graphicData uri="http://schemas.openxmlformats.org/drawingml/2006/picture">
              <pic:pic>
                <pic:nvPicPr>
                  <pic:cNvPr descr="A picture containing text, clipart&#10;&#10;Description automatically generated" id="0" name="image3.pn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83075" cy="269182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22">
    <w:pPr>
      <w:widowControl w:val="0"/>
      <w:rPr>
        <w:rFonts w:ascii="Arial" w:cs="Arial" w:eastAsia="Arial" w:hAnsi="Arial"/>
        <w:sz w:val="16"/>
        <w:szCs w:val="16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23">
    <w:pPr>
      <w:pStyle w:val="Heading1"/>
      <w:keepNext w:val="0"/>
      <w:keepLines w:val="0"/>
      <w:spacing w:before="0" w:lineRule="auto"/>
      <w:rPr/>
    </w:pPr>
    <w:bookmarkStart w:colFirst="0" w:colLast="0" w:name="_heading=h.uy7tmgq07yim" w:id="0"/>
    <w:bookmarkEnd w:id="0"/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24">
    <w:pPr>
      <w:rPr/>
    </w:pP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1440" w:hanging="360"/>
      </w:pPr>
      <w:rPr/>
    </w:lvl>
    <w:lvl w:ilvl="1">
      <w:start w:val="1"/>
      <w:numFmt w:val="lowerLetter"/>
      <w:lvlText w:val="%2."/>
      <w:lvlJc w:val="left"/>
      <w:pPr>
        <w:ind w:left="2160" w:hanging="360"/>
      </w:pPr>
      <w:rPr/>
    </w:lvl>
    <w:lvl w:ilvl="2">
      <w:start w:val="1"/>
      <w:numFmt w:val="lowerRoman"/>
      <w:lvlText w:val="%3."/>
      <w:lvlJc w:val="right"/>
      <w:pPr>
        <w:ind w:left="2880" w:hanging="180"/>
      </w:pPr>
      <w:rPr/>
    </w:lvl>
    <w:lvl w:ilvl="3">
      <w:start w:val="1"/>
      <w:numFmt w:val="decimal"/>
      <w:lvlText w:val="%4."/>
      <w:lvlJc w:val="left"/>
      <w:pPr>
        <w:ind w:left="3600" w:hanging="360"/>
      </w:pPr>
      <w:rPr/>
    </w:lvl>
    <w:lvl w:ilvl="4">
      <w:start w:val="1"/>
      <w:numFmt w:val="lowerLetter"/>
      <w:lvlText w:val="%5."/>
      <w:lvlJc w:val="left"/>
      <w:pPr>
        <w:ind w:left="4320" w:hanging="360"/>
      </w:pPr>
      <w:rPr/>
    </w:lvl>
    <w:lvl w:ilvl="5">
      <w:start w:val="1"/>
      <w:numFmt w:val="lowerRoman"/>
      <w:lvlText w:val="%6."/>
      <w:lvlJc w:val="right"/>
      <w:pPr>
        <w:ind w:left="5040" w:hanging="180"/>
      </w:pPr>
      <w:rPr/>
    </w:lvl>
    <w:lvl w:ilvl="6">
      <w:start w:val="1"/>
      <w:numFmt w:val="decimal"/>
      <w:lvlText w:val="%7."/>
      <w:lvlJc w:val="left"/>
      <w:pPr>
        <w:ind w:left="5760" w:hanging="360"/>
      </w:pPr>
      <w:rPr/>
    </w:lvl>
    <w:lvl w:ilvl="7">
      <w:start w:val="1"/>
      <w:numFmt w:val="lowerLetter"/>
      <w:lvlText w:val="%8."/>
      <w:lvlJc w:val="left"/>
      <w:pPr>
        <w:ind w:left="6480" w:hanging="360"/>
      </w:pPr>
      <w:rPr/>
    </w:lvl>
    <w:lvl w:ilvl="8">
      <w:start w:val="1"/>
      <w:numFmt w:val="lowerRoman"/>
      <w:lvlText w:val="%9."/>
      <w:lvlJc w:val="right"/>
      <w:pPr>
        <w:ind w:left="7200" w:hanging="180"/>
      </w:pPr>
      <w:rPr/>
    </w:lvl>
  </w:abstractNum>
  <w:abstractNum w:abstractNumId="2">
    <w:lvl w:ilvl="0">
      <w:start w:val="1"/>
      <w:numFmt w:val="decimal"/>
      <w:lvlText w:val="%1."/>
      <w:lvlJc w:val="left"/>
      <w:pPr>
        <w:ind w:left="1440" w:hanging="360"/>
      </w:pPr>
      <w:rPr/>
    </w:lvl>
    <w:lvl w:ilvl="1">
      <w:start w:val="1"/>
      <w:numFmt w:val="lowerLetter"/>
      <w:lvlText w:val="%2."/>
      <w:lvlJc w:val="left"/>
      <w:pPr>
        <w:ind w:left="2160" w:hanging="360"/>
      </w:pPr>
      <w:rPr/>
    </w:lvl>
    <w:lvl w:ilvl="2">
      <w:start w:val="1"/>
      <w:numFmt w:val="lowerRoman"/>
      <w:lvlText w:val="%3."/>
      <w:lvlJc w:val="right"/>
      <w:pPr>
        <w:ind w:left="2880" w:hanging="180"/>
      </w:pPr>
      <w:rPr/>
    </w:lvl>
    <w:lvl w:ilvl="3">
      <w:start w:val="1"/>
      <w:numFmt w:val="decimal"/>
      <w:lvlText w:val="%4."/>
      <w:lvlJc w:val="left"/>
      <w:pPr>
        <w:ind w:left="3600" w:hanging="360"/>
      </w:pPr>
      <w:rPr/>
    </w:lvl>
    <w:lvl w:ilvl="4">
      <w:start w:val="1"/>
      <w:numFmt w:val="lowerLetter"/>
      <w:lvlText w:val="%5."/>
      <w:lvlJc w:val="left"/>
      <w:pPr>
        <w:ind w:left="4320" w:hanging="360"/>
      </w:pPr>
      <w:rPr/>
    </w:lvl>
    <w:lvl w:ilvl="5">
      <w:start w:val="1"/>
      <w:numFmt w:val="lowerRoman"/>
      <w:lvlText w:val="%6."/>
      <w:lvlJc w:val="right"/>
      <w:pPr>
        <w:ind w:left="5040" w:hanging="180"/>
      </w:pPr>
      <w:rPr/>
    </w:lvl>
    <w:lvl w:ilvl="6">
      <w:start w:val="1"/>
      <w:numFmt w:val="decimal"/>
      <w:lvlText w:val="%7."/>
      <w:lvlJc w:val="left"/>
      <w:pPr>
        <w:ind w:left="5760" w:hanging="360"/>
      </w:pPr>
      <w:rPr/>
    </w:lvl>
    <w:lvl w:ilvl="7">
      <w:start w:val="1"/>
      <w:numFmt w:val="lowerLetter"/>
      <w:lvlText w:val="%8."/>
      <w:lvlJc w:val="left"/>
      <w:pPr>
        <w:ind w:left="6480" w:hanging="360"/>
      </w:pPr>
      <w:rPr/>
    </w:lvl>
    <w:lvl w:ilvl="8">
      <w:start w:val="1"/>
      <w:numFmt w:val="lowerRoman"/>
      <w:lvlText w:val="%9."/>
      <w:lvlJc w:val="right"/>
      <w:pPr>
        <w:ind w:left="7200" w:hanging="180"/>
      </w:pPr>
      <w:rPr/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4"/>
        <w:szCs w:val="24"/>
        <w:lang w:val="en-US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before="2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</w:style>
  <w:style w:type="paragraph" w:styleId="Heading1">
    <w:name w:val="heading 1"/>
    <w:basedOn w:val="Normal"/>
    <w:next w:val="Normal"/>
    <w:link w:val="Heading1Char"/>
    <w:uiPriority w:val="9"/>
    <w:qFormat w:val="1"/>
    <w:rsid w:val="00E96B7F"/>
    <w:pPr>
      <w:keepNext w:val="1"/>
      <w:keepLines w:val="1"/>
      <w:spacing w:before="240"/>
      <w:outlineLvl w:val="0"/>
    </w:pPr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character" w:styleId="Heading1Char" w:customStyle="1">
    <w:name w:val="Heading 1 Char"/>
    <w:basedOn w:val="DefaultParagraphFont"/>
    <w:link w:val="Heading1"/>
    <w:uiPriority w:val="9"/>
    <w:rsid w:val="00E96B7F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paragraph" w:styleId="NormalWeb">
    <w:name w:val="Normal (Web)"/>
    <w:basedOn w:val="Normal"/>
    <w:uiPriority w:val="99"/>
    <w:semiHidden w:val="1"/>
    <w:unhideWhenUsed w:val="1"/>
    <w:rsid w:val="006F1679"/>
    <w:pPr>
      <w:spacing w:after="100" w:afterAutospacing="1" w:before="100" w:beforeAutospacing="1"/>
    </w:pPr>
    <w:rPr>
      <w:rFonts w:ascii="Times New Roman" w:cs="Times New Roman" w:eastAsia="Times New Roman" w:hAnsi="Times New Roman"/>
    </w:rPr>
  </w:style>
  <w:style w:type="character" w:styleId="Hyperlink">
    <w:name w:val="Hyperlink"/>
    <w:basedOn w:val="DefaultParagraphFont"/>
    <w:uiPriority w:val="99"/>
    <w:unhideWhenUsed w:val="1"/>
    <w:rsid w:val="006F1679"/>
    <w:rPr>
      <w:color w:val="0000ff"/>
      <w:u w:val="single"/>
    </w:rPr>
  </w:style>
  <w:style w:type="character" w:styleId="apple-tab-span" w:customStyle="1">
    <w:name w:val="apple-tab-span"/>
    <w:basedOn w:val="DefaultParagraphFont"/>
    <w:rsid w:val="006F1679"/>
  </w:style>
  <w:style w:type="paragraph" w:styleId="ListParagraph">
    <w:name w:val="List Paragraph"/>
    <w:basedOn w:val="Normal"/>
    <w:uiPriority w:val="34"/>
    <w:qFormat w:val="1"/>
    <w:rsid w:val="006F1679"/>
    <w:pPr>
      <w:ind w:left="720"/>
      <w:contextualSpacing w:val="1"/>
    </w:pPr>
  </w:style>
  <w:style w:type="character" w:styleId="UnresolvedMention">
    <w:name w:val="Unresolved Mention"/>
    <w:basedOn w:val="DefaultParagraphFont"/>
    <w:uiPriority w:val="99"/>
    <w:semiHidden w:val="1"/>
    <w:unhideWhenUsed w:val="1"/>
    <w:rsid w:val="00A00EDA"/>
    <w:rPr>
      <w:color w:val="605e5c"/>
      <w:shd w:color="auto" w:fill="e1dfdd" w:val="clear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1.xml"/><Relationship Id="rId10" Type="http://schemas.openxmlformats.org/officeDocument/2006/relationships/image" Target="media/image2.png"/><Relationship Id="rId9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s://doi.org/10.3389/fbioe.2019.00063" TargetMode="External"/><Relationship Id="rId8" Type="http://schemas.openxmlformats.org/officeDocument/2006/relationships/hyperlink" Target="http://bit.ly/3QqvhcU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ndika-regular.ttf"/><Relationship Id="rId2" Type="http://schemas.openxmlformats.org/officeDocument/2006/relationships/font" Target="fonts/Andika-bold.ttf"/><Relationship Id="rId3" Type="http://schemas.openxmlformats.org/officeDocument/2006/relationships/font" Target="fonts/Andika-italic.ttf"/><Relationship Id="rId4" Type="http://schemas.openxmlformats.org/officeDocument/2006/relationships/font" Target="fonts/Andika-boldItalic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hyperlink" Target="https://creativecommons.org/licenses/by-sa/4.0/" TargetMode="External"/><Relationship Id="rId2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emZ1QMUHqMD+MKc0Otjs6iBk7wA==">AMUW2mUiPga2u144IqFZExEMqBi/+PWVttDMXAzhwlg7X1gjDXLmwRiaT9bpHujuetNpW09h39tSHH7rF7NgbXAXWn+JhhdstVCDDLhujmGGwyWGjSypg+mHpOp1JufFAeWRgpsWOy/3ZsFXNB311PE7MjPhgK8DUEr9zGMi4tu6PVydA2EVLIY=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2022-07-20T20:45:00Z</dcterms:created>
  <dc:creator>Thompson, Cris</dc:creator>
</cp:coreProperties>
</file>